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四川省慈善联合总结会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Hans"/>
        </w:rPr>
        <w:t>短信平台技术服务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项目报价表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48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477"/>
        <w:gridCol w:w="216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项目内容</w:t>
            </w:r>
          </w:p>
        </w:tc>
        <w:tc>
          <w:tcPr>
            <w:tcW w:w="124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单价（元）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1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1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报价合计（人民币：元）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小写：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  大写：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>注：</w:t>
      </w:r>
      <w:r>
        <w:rPr>
          <w:rFonts w:hint="default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>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1280" w:firstLineChars="4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>.“报价表”为多页的，每页均需由法定代表人或授权代表签字并盖供应商印章。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1280" w:firstLineChars="4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>.“报价表”以包为单位填写。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 xml:space="preserve">供应商名称：（盖单位公章）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 xml:space="preserve">法定代表人或授权代表：（签字或盖章）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520" w:firstLineChars="11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>日 期：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C71C30-0F57-4768-B896-D69678EAAE2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AC250D5-AB0E-4361-80D2-448D2E5E31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40D9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2022-11-22T08:32:42Z</dcterms:created>
  <dc:creator>Admin</dc:creator>
  <cp:lastModifiedBy>阳光笑脸</cp:lastModifiedBy>
  <dcterms:modified xsi:type="dcterms:W3CDTF">2022-11-22T08:33:00Z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22D5DAC525B04145A2DD49AC0AC191F5</vt:lpwstr>
  </property>
</Properties>
</file>