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</w:p>
    <w:p>
      <w:pPr>
        <w:pStyle w:val="3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highlight w:val="none"/>
        </w:rPr>
        <w:t>四川省慈善联合总会基础VI设计服务项目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highlight w:val="none"/>
          <w:lang w:val="en-US" w:eastAsia="zh-CN"/>
        </w:rPr>
        <w:t>比选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highlight w:val="none"/>
        </w:rPr>
        <w:t>评分表</w:t>
      </w:r>
    </w:p>
    <w:p>
      <w:pPr>
        <w:pStyle w:val="3"/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  <w:t>受评单位：</w:t>
      </w:r>
    </w:p>
    <w:tbl>
      <w:tblPr>
        <w:tblStyle w:val="5"/>
        <w:tblW w:w="14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89"/>
        <w:gridCol w:w="1050"/>
        <w:gridCol w:w="1136"/>
        <w:gridCol w:w="4810"/>
        <w:gridCol w:w="4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</w:rPr>
              <w:t>项目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分值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得分</w:t>
            </w: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89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提供四川省慈善联合总会基础VI设计思路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（需含总会logo及灾后重建logo设计思路）</w:t>
            </w:r>
          </w:p>
        </w:tc>
        <w:tc>
          <w:tcPr>
            <w:tcW w:w="1050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40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供应商提供项目整体方案应包含该项目标志设计大致思路、标志设计草稿，总计20分。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总会标志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定位精准，有明显慈善特色；整体创意、风格、表现形式能较好结合川慈联实际，充分展示四川省慈善联合总会形象，传播总会慈善理念和美好愿景，总计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灾后重建标志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定位精准，有明显慈善特色；整体创意、风格、表现形式能较好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借鉴汉代文化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展现古往今来的慈善风采。并结合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四川省慈善联合总会形象，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表达出对灾后重建的美好展望与祝福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，总计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96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89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投标人综合实力</w:t>
            </w:r>
          </w:p>
        </w:tc>
        <w:tc>
          <w:tcPr>
            <w:tcW w:w="1050" w:type="dxa"/>
            <w:vMerge w:val="restart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提供关于社会信誉、财务状况的相关承诺书，并经网络查证无不良记录，总计10分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投标人以往业绩及以往脚本水平，每提供一份资料得5分，总计15分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96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jc w:val="both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9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响应文件制作规范，总计5分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以所有投标文件平均价为基准价，每差10%（不满10%的计10%）扣五分，总计30分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85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合计总分：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  <w:t>100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481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评分人：</w:t>
            </w:r>
          </w:p>
        </w:tc>
        <w:tc>
          <w:tcPr>
            <w:tcW w:w="4297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CFD008-F280-44BB-96C0-1603577209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5B59565-3DBA-4DA0-8261-10319DC0295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0167F7C-F799-4263-9C01-0C224A1C24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4AB9515-DDDA-4E8C-BE52-26DEF5B10D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TA2Y2VjY2Q2MGQwYTViZDQ2OGY2ZTJmNGRkNjMifQ=="/>
  </w:docVars>
  <w:rsids>
    <w:rsidRoot w:val="2B4C1DFF"/>
    <w:rsid w:val="2B4C1DFF"/>
    <w:rsid w:val="2C1D4AC2"/>
    <w:rsid w:val="2D0B5263"/>
    <w:rsid w:val="2E7B1F74"/>
    <w:rsid w:val="70AD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248</Characters>
  <Lines>0</Lines>
  <Paragraphs>0</Paragraphs>
  <TotalTime>0</TotalTime>
  <ScaleCrop>false</ScaleCrop>
  <LinksUpToDate>false</LinksUpToDate>
  <CharactersWithSpaces>273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2022-11-30T01:20:00Z</dcterms:created>
  <dc:creator>冷掉的小笼包</dc:creator>
  <cp:lastModifiedBy>冷掉的小笼包</cp:lastModifiedBy>
  <dcterms:modified xsi:type="dcterms:W3CDTF">2022-11-30T01:22:22Z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ED623639F4DD4DEEBACB2EB99E8CAF19</vt:lpwstr>
  </property>
</Properties>
</file>