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四川省慈善联合总会</w:t>
      </w:r>
    </w:p>
    <w:p>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pacing w:val="-6"/>
          <w:sz w:val="44"/>
          <w:szCs w:val="44"/>
          <w:lang w:val="en-US" w:eastAsia="zh-CN"/>
        </w:rPr>
        <w:t>第四届会员代表大会氛围营造项目评分标准</w:t>
      </w:r>
    </w:p>
    <w:tbl>
      <w:tblPr>
        <w:tblStyle w:val="4"/>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28"/>
        <w:gridCol w:w="1392"/>
        <w:gridCol w:w="559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81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序号</w:t>
            </w:r>
          </w:p>
        </w:tc>
        <w:tc>
          <w:tcPr>
            <w:tcW w:w="12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评分因素</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及权重</w:t>
            </w: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w:t>
            </w:r>
          </w:p>
        </w:tc>
        <w:tc>
          <w:tcPr>
            <w:tcW w:w="559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评分标准</w:t>
            </w:r>
          </w:p>
        </w:tc>
        <w:tc>
          <w:tcPr>
            <w:tcW w:w="88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2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报价30%</w:t>
            </w: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30分</w:t>
            </w:r>
          </w:p>
        </w:tc>
        <w:tc>
          <w:tcPr>
            <w:tcW w:w="5591"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满足磋商文件要求且最后报价最低的供应商的价格为基准价，其价格分为满分。其他供应商的价格分统一按照下列公式计算：</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报价得分=(</w:t>
            </w:r>
            <w:r>
              <w:rPr>
                <w:rFonts w:hint="eastAsia" w:ascii="仿宋_GB2312" w:hAnsi="仿宋_GB2312" w:eastAsia="仿宋_GB2312" w:cs="仿宋_GB2312"/>
                <w:highlight w:val="none"/>
                <w:lang w:val="en-US" w:eastAsia="zh-CN"/>
              </w:rPr>
              <w:t>基准价／最终报价)×</w:t>
            </w:r>
            <w:r>
              <w:rPr>
                <w:rFonts w:hint="eastAsia" w:ascii="仿宋_GB2312" w:hAnsi="仿宋_GB2312" w:eastAsia="仿宋_GB2312" w:cs="仿宋_GB2312"/>
                <w:color w:val="auto"/>
                <w:highlight w:val="none"/>
                <w:lang w:val="en-US" w:eastAsia="zh-CN"/>
              </w:rPr>
              <w:t>30分</w:t>
            </w:r>
            <w:r>
              <w:rPr>
                <w:rFonts w:hint="eastAsia" w:ascii="仿宋_GB2312" w:hAnsi="仿宋_GB2312" w:eastAsia="仿宋_GB2312" w:cs="仿宋_GB2312"/>
                <w:highlight w:val="none"/>
                <w:lang w:val="en-US" w:eastAsia="zh-CN"/>
              </w:rPr>
              <w:t>×100</w:t>
            </w:r>
            <w:r>
              <w:rPr>
                <w:rFonts w:hint="eastAsia" w:ascii="仿宋_GB2312" w:hAnsi="仿宋_GB2312" w:eastAsia="仿宋_GB2312" w:cs="仿宋_GB2312"/>
                <w:lang w:val="en-US" w:eastAsia="zh-CN"/>
              </w:rPr>
              <w:t>%</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注：报价得分按四舍五入的原则保留两位小数。</w:t>
            </w:r>
          </w:p>
        </w:tc>
        <w:tc>
          <w:tcPr>
            <w:tcW w:w="887" w:type="dxa"/>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vMerge w:val="restar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28" w:type="dxa"/>
            <w:vMerge w:val="restar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服务方案</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w:t>
            </w: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现场特装</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20分</w:t>
            </w:r>
          </w:p>
        </w:tc>
        <w:tc>
          <w:tcPr>
            <w:tcW w:w="5591"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要求：供应商根据现场勘察实际情况提供五福堂前厅特装展示设计示例图稿（木结构+浮雕设计，含前厅2组签到背景）。</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通过评比其方案是否贴近采购人需求综合评审，优得20分，良得15分，中得10分，差得5分，不提供不得分</w:t>
            </w:r>
          </w:p>
        </w:tc>
        <w:tc>
          <w:tcPr>
            <w:tcW w:w="887" w:type="dxa"/>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vMerge w:val="continue"/>
            <w:vAlign w:val="center"/>
          </w:tcPr>
          <w:p>
            <w:pPr>
              <w:jc w:val="center"/>
              <w:rPr>
                <w:rFonts w:hint="eastAsia" w:ascii="仿宋_GB2312" w:hAnsi="仿宋_GB2312" w:eastAsia="仿宋_GB2312" w:cs="仿宋_GB2312"/>
                <w:lang w:val="en-US" w:eastAsia="zh-CN"/>
              </w:rPr>
            </w:pPr>
          </w:p>
        </w:tc>
        <w:tc>
          <w:tcPr>
            <w:tcW w:w="1228" w:type="dxa"/>
            <w:vMerge w:val="continue"/>
            <w:vAlign w:val="center"/>
          </w:tcPr>
          <w:p>
            <w:pPr>
              <w:jc w:val="center"/>
              <w:rPr>
                <w:rFonts w:hint="eastAsia" w:ascii="仿宋_GB2312" w:hAnsi="仿宋_GB2312" w:eastAsia="仿宋_GB2312" w:cs="仿宋_GB2312"/>
                <w:lang w:val="en-US" w:eastAsia="zh-CN"/>
              </w:rPr>
            </w:pP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服务方案</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20分</w:t>
            </w:r>
          </w:p>
        </w:tc>
        <w:tc>
          <w:tcPr>
            <w:tcW w:w="5591"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根据供应商提供的服务方案进行评分，内容应包括：</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①外场4*8米主题展板设计（含不少于8个主题字内容建议）；</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②外场行道旗设计（含文字说明）；</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③会议流程全套背景设计（仅需提供主背景设计稿）；</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通过评比其方案是否贴近采购人需求综合评审，优得20分，良得15分，中得10分，差得5分，不提供不得分。</w:t>
            </w:r>
          </w:p>
        </w:tc>
        <w:tc>
          <w:tcPr>
            <w:tcW w:w="887" w:type="dxa"/>
            <w:vMerge w:val="restart"/>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vMerge w:val="continue"/>
            <w:vAlign w:val="center"/>
          </w:tcPr>
          <w:p>
            <w:pPr>
              <w:jc w:val="center"/>
              <w:rPr>
                <w:rFonts w:hint="eastAsia" w:ascii="仿宋_GB2312" w:hAnsi="仿宋_GB2312" w:eastAsia="仿宋_GB2312" w:cs="仿宋_GB2312"/>
                <w:lang w:val="en-US" w:eastAsia="zh-CN"/>
              </w:rPr>
            </w:pPr>
          </w:p>
        </w:tc>
        <w:tc>
          <w:tcPr>
            <w:tcW w:w="1228" w:type="dxa"/>
            <w:vMerge w:val="continue"/>
            <w:vAlign w:val="center"/>
          </w:tcPr>
          <w:p>
            <w:pPr>
              <w:jc w:val="center"/>
              <w:rPr>
                <w:rFonts w:hint="eastAsia" w:ascii="仿宋_GB2312" w:hAnsi="仿宋_GB2312" w:eastAsia="仿宋_GB2312" w:cs="仿宋_GB2312"/>
                <w:lang w:val="en-US" w:eastAsia="zh-CN"/>
              </w:rPr>
            </w:pP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保障方案</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10分</w:t>
            </w:r>
          </w:p>
        </w:tc>
        <w:tc>
          <w:tcPr>
            <w:tcW w:w="5591"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根据供应商提供的保障服务方案进行评分，包括：</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①服务保障措施；</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②服务质量保障及承诺；</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③安全保障方案；</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④活动应急预案；</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⑤活动现场不少于4人图片资料收集团队（附身份证信息）</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⑥活动现场不少于2人的综合保障团队（附身份证信息）。</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以上内容齐全且完全满足本项目需求的得10分，每有一项内容缺失的扣2分，每有一项表述不清楚、逻辑不清晰、不能保证项目履约要求及采购人实际需求的扣1</w:t>
            </w:r>
            <w:bookmarkStart w:id="0" w:name="_GoBack"/>
            <w:bookmarkEnd w:id="0"/>
            <w:r>
              <w:rPr>
                <w:rFonts w:hint="eastAsia" w:ascii="仿宋_GB2312" w:hAnsi="仿宋_GB2312" w:eastAsia="仿宋_GB2312" w:cs="仿宋_GB2312"/>
                <w:lang w:val="en-US" w:eastAsia="zh-CN"/>
              </w:rPr>
              <w:t>分。</w:t>
            </w:r>
          </w:p>
        </w:tc>
        <w:tc>
          <w:tcPr>
            <w:tcW w:w="887" w:type="dxa"/>
            <w:vMerge w:val="continue"/>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228"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履约经验20%</w:t>
            </w:r>
          </w:p>
        </w:tc>
        <w:tc>
          <w:tcPr>
            <w:tcW w:w="1392"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业绩20分</w:t>
            </w:r>
          </w:p>
        </w:tc>
        <w:tc>
          <w:tcPr>
            <w:tcW w:w="5591"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供应商具有一个类似项目业绩得5分，本项最多得20分。（类似项目业绩指会务服务或大型活动服务）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注：提供中标（成交）通知或合同复印件并加盖供应商公章。</w:t>
            </w:r>
          </w:p>
        </w:tc>
        <w:tc>
          <w:tcPr>
            <w:tcW w:w="887" w:type="dxa"/>
            <w:vAlign w:val="center"/>
          </w:tcPr>
          <w:p>
            <w:pPr>
              <w:rPr>
                <w:rFonts w:hint="eastAsia" w:ascii="仿宋_GB2312" w:hAnsi="仿宋_GB2312" w:eastAsia="仿宋_GB2312" w:cs="仿宋_GB2312"/>
                <w:lang w:val="en-US" w:eastAsia="zh-CN"/>
              </w:rPr>
            </w:pPr>
          </w:p>
        </w:tc>
      </w:tr>
    </w:tbl>
    <w:p>
      <w:pPr>
        <w:rPr>
          <w:rFonts w:hint="eastAsia"/>
          <w:lang w:val="en-US" w:eastAsia="zh-CN"/>
        </w:rPr>
      </w:pPr>
    </w:p>
    <w:p>
      <w:pPr>
        <w:spacing w:after="0" w:line="360" w:lineRule="auto"/>
        <w:ind w:firstLine="240" w:firstLineChars="100"/>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4"/>
          <w:highlight w:val="none"/>
        </w:rPr>
        <w:t>注：评分的取值按四舍五入法，保留小数点后两位。</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pPr>
                      <w:pStyle w:val="3"/>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2EBD4B67"/>
    <w:rsid w:val="7C85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696</Words>
  <Characters>722</Characters>
  <Lines>0</Lines>
  <Paragraphs>0</Paragraphs>
  <TotalTime>0</TotalTime>
  <ScaleCrop>false</ScaleCrop>
  <LinksUpToDate>false</LinksUpToDate>
  <CharactersWithSpaces>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2022-12-27T10:25:00Z</dcterms:created>
  <dc:creator>Admin</dc:creator>
  <cp:lastModifiedBy>阳光笑脸</cp:lastModifiedBy>
  <dcterms:modified xsi:type="dcterms:W3CDTF">2022-12-30T10:17:52Z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C79026414BBF454994198B44E933CCDD</vt:lpwstr>
  </property>
</Properties>
</file>