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4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四川省慈善联合总会宣传视频制作服务项目评分表</w:t>
      </w:r>
      <w:bookmarkEnd w:id="0"/>
    </w:p>
    <w:p>
      <w:pPr>
        <w:pStyle w:val="3"/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highlight w:val="none"/>
          <w:lang w:val="en-US" w:eastAsia="zh-CN" w:bidi="ar-SA"/>
        </w:rPr>
        <w:t>受评单位：</w:t>
      </w:r>
    </w:p>
    <w:tbl>
      <w:tblPr>
        <w:tblStyle w:val="6"/>
        <w:tblW w:w="14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989"/>
        <w:gridCol w:w="1050"/>
        <w:gridCol w:w="1136"/>
        <w:gridCol w:w="4810"/>
        <w:gridCol w:w="4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6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1989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评分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</w:rPr>
              <w:t>项目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分值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得分</w:t>
            </w:r>
          </w:p>
        </w:tc>
        <w:tc>
          <w:tcPr>
            <w:tcW w:w="9231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1096" w:type="dxa"/>
            <w:vMerge w:val="restart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989" w:type="dxa"/>
            <w:vMerge w:val="restart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以往业绩整体设计水平（含对应业绩的其他企业动画视频成品）</w:t>
            </w:r>
          </w:p>
        </w:tc>
        <w:tc>
          <w:tcPr>
            <w:tcW w:w="1050" w:type="dxa"/>
            <w:vMerge w:val="restart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40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231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供应商提供的其他企业动画视频成品，动画元素清晰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如人物设置、场景、道具、特效和字体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等）、拥有出色的连贯性和流畅性，整体注重细节和质感，画面优美；故事情节有创意、有内容；声音设计符合故事情节和角色特征，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总计40分。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96" w:type="dxa"/>
            <w:vMerge w:val="restart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989" w:type="dxa"/>
            <w:vMerge w:val="restart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投标人综合实力</w:t>
            </w:r>
          </w:p>
        </w:tc>
        <w:tc>
          <w:tcPr>
            <w:tcW w:w="1050" w:type="dxa"/>
            <w:vMerge w:val="restart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  <w:t>30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231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提供关于社会信誉、财务状况的相关承诺书，并经网络查证无不良记录，总计10分。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96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89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50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231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投标人以往业绩，每提供一份资料得5分，总计15分。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96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89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50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231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响应文件制作规范，是否密封，总计5分。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6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989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报价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  <w:t>30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231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满足招标文件要求且投标价格最低的投标报价为评标基准价，其价格分为满分，其他投标人的价格分统一按照下列公式计算:投标报价得分=(评标基准价/投标报价)x30。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85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合计总分：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  <w:t>100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4810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评分人：</w:t>
            </w:r>
          </w:p>
        </w:tc>
        <w:tc>
          <w:tcPr>
            <w:tcW w:w="4421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09E046-C7DB-4679-BF2A-40172625F5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EDFAEFA-75E0-461C-A848-93B8149C98C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9981942-EF04-4AFB-82DB-7D131078E94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25EC6F7-A797-4BB7-AEF4-2376D2A12A0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OTdiODEwODY0MTQ2N2EwNDFhM2I3MzQ0Y2UwMGUifQ=="/>
  </w:docVars>
  <w:rsids>
    <w:rsidRoot w:val="58AD5E9A"/>
    <w:rsid w:val="326225B7"/>
    <w:rsid w:val="460A3878"/>
    <w:rsid w:val="58AD5E9A"/>
    <w:rsid w:val="5946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oc 1"/>
    <w:basedOn w:val="1"/>
    <w:next w:val="1"/>
    <w:qFormat/>
    <w:uiPriority w:val="39"/>
    <w:pPr>
      <w:tabs>
        <w:tab w:val="right" w:leader="dot" w:pos="9061"/>
      </w:tabs>
      <w:spacing w:line="480" w:lineRule="auto"/>
      <w:ind w:firstLine="723" w:firstLineChars="200"/>
    </w:pPr>
    <w:rPr>
      <w:rFonts w:ascii="黑体" w:eastAsia="黑体"/>
      <w:b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2024-03-25T07:30:00Z</dcterms:created>
  <dc:creator>H·Y</dc:creator>
  <cp:lastModifiedBy>H·Y</cp:lastModifiedBy>
  <dcterms:modified xsi:type="dcterms:W3CDTF">2024-03-25T07:33:46Z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0E6F1C886035402687F95B57519BA35E_13</vt:lpwstr>
  </property>
</Properties>
</file>