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四川省慈善联合总会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固定资产管理办法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</w:pPr>
      <w:bookmarkStart w:id="0" w:name="_Toc29690"/>
      <w:bookmarkStart w:id="1" w:name="_Toc1198"/>
      <w:bookmarkStart w:id="2" w:name="_Toc1237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宋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>第一章  总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>则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第一条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为加强对四川省慈善联合总会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（以下简称：“总会”）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固定资产管理，规范固定资产的购置、使用与核算，根据《民间非营利组织会计制度》《四川省慈善联合总会财务管理制度》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结合总会管理需要，制定本办法。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"/>
        </w:rPr>
        <w:t>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 w:bidi="ar"/>
        </w:rPr>
        <w:t>制度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"/>
        </w:rPr>
        <w:t>适用于四川省慈善联合总会秘书处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"/>
        </w:rPr>
        <w:t>分支机构、代表机构、实体机构。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第二条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本办法所称固定资产是指使用期限在一年以上并且单位价值人民币2000元人民币以上(含2000元)，并在使用过程中基本保持原来物质形态的房屋建筑物、设备、运输工具、办公设备及其他有形财产。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560" w:lineRule="exact"/>
        <w:jc w:val="center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560" w:lineRule="exact"/>
        <w:jc w:val="center"/>
        <w:textAlignment w:val="baseline"/>
        <w:outlineLvl w:val="0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bookmarkStart w:id="3" w:name="_Toc9426"/>
      <w:bookmarkStart w:id="4" w:name="_Toc5524"/>
      <w:bookmarkStart w:id="5" w:name="_Toc31172"/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 xml:space="preserve">章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日常管理</w:t>
      </w:r>
      <w:bookmarkEnd w:id="3"/>
      <w:bookmarkEnd w:id="4"/>
      <w:bookmarkEnd w:id="5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5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-2"/>
          <w:kern w:val="0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</w:rPr>
        <w:t>综合部负责固定资产的采购、验收、登记、领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</w:rPr>
        <w:t>发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5"/>
          <w:kern w:val="0"/>
          <w:sz w:val="32"/>
          <w:szCs w:val="32"/>
        </w:rPr>
        <w:t>和处置等事务，检查固定资产合理有效使用和日常维护管理，建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8"/>
          <w:kern w:val="0"/>
          <w:sz w:val="32"/>
          <w:szCs w:val="32"/>
        </w:rPr>
        <w:t>立固定资产分类卡片，按固定资产大类进行分类核算。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5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-2"/>
          <w:kern w:val="0"/>
          <w:sz w:val="32"/>
          <w:szCs w:val="32"/>
        </w:rPr>
        <w:t xml:space="preserve">第四条 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-2"/>
          <w:kern w:val="0"/>
          <w:sz w:val="32"/>
          <w:szCs w:val="32"/>
        </w:rPr>
        <w:t>固定资产使用部门负责本部门的资产管理。主要职责如下：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4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1"/>
          <w:kern w:val="0"/>
          <w:sz w:val="32"/>
          <w:szCs w:val="32"/>
        </w:rPr>
        <w:t>(一)正确使用配置给本部门的固定资产；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(二)对于不能正常使用的固定资产提出处理意见；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-2"/>
          <w:kern w:val="0"/>
          <w:sz w:val="32"/>
          <w:szCs w:val="32"/>
        </w:rPr>
        <w:t>(三)发现固定资产使用过程中出现的问题，及时报告并提出处理意见。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560" w:lineRule="exact"/>
        <w:jc w:val="center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560" w:lineRule="exact"/>
        <w:jc w:val="center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12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 xml:space="preserve">章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增减变动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12"/>
          <w:kern w:val="0"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1052830</wp:posOffset>
            </wp:positionV>
            <wp:extent cx="1623695" cy="76200"/>
            <wp:effectExtent l="140970" t="0" r="144780" b="1270"/>
            <wp:wrapNone/>
            <wp:docPr id="12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4800000">
                      <a:off x="0" y="0"/>
                      <a:ext cx="162369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12"/>
          <w:kern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12"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50" w:rightChars="0" w:firstLine="688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12"/>
          <w:kern w:val="0"/>
          <w:sz w:val="32"/>
          <w:szCs w:val="32"/>
        </w:rPr>
        <w:t>总会固定资产的采购、内部转移、报废、处置、出租、抵押、赠送等，必须履行登记手续。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50" w:rightChars="0" w:firstLine="618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1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1"/>
          <w:w w:val="96"/>
          <w:kern w:val="0"/>
          <w:sz w:val="32"/>
          <w:szCs w:val="32"/>
        </w:rPr>
        <w:t>(一)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2"/>
          <w:w w:val="96"/>
          <w:kern w:val="0"/>
          <w:sz w:val="32"/>
          <w:szCs w:val="32"/>
        </w:rPr>
        <w:t>采购：购置固定资产应当由使用部门作出购置计划，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1"/>
          <w:w w:val="96"/>
          <w:kern w:val="0"/>
          <w:sz w:val="32"/>
          <w:szCs w:val="32"/>
        </w:rPr>
        <w:t>填制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1"/>
          <w:w w:val="96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1"/>
          <w:w w:val="96"/>
          <w:kern w:val="0"/>
          <w:sz w:val="32"/>
          <w:szCs w:val="32"/>
        </w:rPr>
        <w:t>固定资产购置申请表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1"/>
          <w:w w:val="96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1"/>
          <w:w w:val="96"/>
          <w:kern w:val="0"/>
          <w:sz w:val="32"/>
          <w:szCs w:val="32"/>
        </w:rPr>
        <w:t>(附件1)报综合部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0"/>
          <w:w w:val="96"/>
          <w:kern w:val="0"/>
          <w:sz w:val="32"/>
          <w:szCs w:val="32"/>
        </w:rPr>
        <w:t>统一登记备案。综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6"/>
          <w:w w:val="96"/>
          <w:kern w:val="0"/>
          <w:sz w:val="32"/>
          <w:szCs w:val="32"/>
        </w:rPr>
        <w:t>合部根据总会资金状况和工作情况，制定总会的购置计划，确定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"/>
          <w:w w:val="96"/>
          <w:kern w:val="0"/>
          <w:sz w:val="32"/>
          <w:szCs w:val="32"/>
        </w:rPr>
        <w:t>购置的数量和顺序，按程序审批后实施。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固定资产采购采用分级授权审批原则，审批权限为：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1.2万元（含2万元）以下支出，经财务人员、分管副秘书长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highlight w:val="none"/>
          <w:lang w:val="en-US" w:eastAsia="zh-CN"/>
        </w:rPr>
        <w:t>审核后报秘书长审批；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highlight w:val="none"/>
          <w:lang w:val="en-US" w:eastAsia="zh-CN"/>
        </w:rPr>
        <w:t>万元以上支出，经财务人员、分管副秘书长、秘书长审核后报会长审批。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highlight w:val="none"/>
        </w:rPr>
        <w:t>固定资产采购的管理，按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</w:rPr>
        <w:t>照公开、优质、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在满足需求的情况下低价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</w:rPr>
        <w:t>的原则。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所购固定资产到达后，由使用部门与综合部按采购合同进行验收，办理入库和领用手续。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综合部根据合同和验收入库等手续，按取得时的成本及时办理财务入账手续，建立固定资产台账和卡片。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w w:val="9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14"/>
          <w:w w:val="97"/>
          <w:kern w:val="0"/>
          <w:sz w:val="32"/>
          <w:szCs w:val="32"/>
        </w:rPr>
        <w:t>(二)内部转移：固定资产在总会内部转移时，由转出部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7"/>
          <w:w w:val="97"/>
          <w:kern w:val="0"/>
          <w:sz w:val="32"/>
          <w:szCs w:val="32"/>
        </w:rPr>
        <w:t>门填写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7"/>
          <w:w w:val="97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7"/>
          <w:w w:val="97"/>
          <w:kern w:val="0"/>
          <w:sz w:val="32"/>
          <w:szCs w:val="32"/>
        </w:rPr>
        <w:t>固定资产转移单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7"/>
          <w:w w:val="97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7"/>
          <w:w w:val="97"/>
          <w:kern w:val="0"/>
          <w:sz w:val="32"/>
          <w:szCs w:val="32"/>
        </w:rPr>
        <w:t>(附件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7"/>
          <w:w w:val="97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7"/>
          <w:w w:val="97"/>
          <w:kern w:val="0"/>
          <w:sz w:val="32"/>
          <w:szCs w:val="32"/>
        </w:rPr>
        <w:t>)一式三份，由综合部签章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4"/>
          <w:w w:val="97"/>
          <w:kern w:val="0"/>
          <w:sz w:val="32"/>
          <w:szCs w:val="32"/>
        </w:rPr>
        <w:t>后，送移人部门确认。第一联送综合部；第二联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w w:val="97"/>
          <w:kern w:val="0"/>
          <w:sz w:val="32"/>
          <w:szCs w:val="32"/>
        </w:rPr>
        <w:t>交移入部门；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3"/>
          <w:w w:val="97"/>
          <w:kern w:val="0"/>
          <w:sz w:val="32"/>
          <w:szCs w:val="32"/>
        </w:rPr>
        <w:t>第三联交移出部门。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14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14"/>
          <w:kern w:val="0"/>
          <w:sz w:val="32"/>
          <w:szCs w:val="32"/>
        </w:rPr>
        <w:t>(三)报废：加强对固定资产报废的管理，确属不能或不宜使用的固定资产，可以作报废处理。对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4"/>
          <w:kern w:val="0"/>
          <w:sz w:val="32"/>
          <w:szCs w:val="32"/>
        </w:rPr>
        <w:t>报废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有残余价值的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4"/>
          <w:kern w:val="0"/>
          <w:sz w:val="32"/>
          <w:szCs w:val="32"/>
        </w:rPr>
        <w:t>固定资产应进行作价处理，处理后收益及时入账；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14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14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4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4"/>
          <w:kern w:val="0"/>
          <w:sz w:val="32"/>
          <w:szCs w:val="32"/>
        </w:rPr>
        <w:t>固定资产报废范围。属于下列情况之一的，可以申请办理仪器设备报废手续：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2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1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13"/>
          <w:kern w:val="0"/>
          <w:sz w:val="32"/>
          <w:szCs w:val="32"/>
        </w:rPr>
        <w:t>(1)已超过耐用期，无使用价值的；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2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1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13"/>
          <w:kern w:val="0"/>
          <w:sz w:val="32"/>
          <w:szCs w:val="32"/>
        </w:rPr>
        <w:t>(2)技术落后，耗能高，效率低，机型已淘汰的；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2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1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13"/>
          <w:kern w:val="0"/>
          <w:sz w:val="32"/>
          <w:szCs w:val="32"/>
        </w:rPr>
        <w:t>(3)设备长期失修，主要零件无法补充的；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2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1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13"/>
          <w:kern w:val="0"/>
          <w:sz w:val="32"/>
          <w:szCs w:val="32"/>
        </w:rPr>
        <w:t>(4)主要部件损坏严重，无法修复的，或虽能修复，维修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3"/>
          <w:kern w:val="0"/>
          <w:sz w:val="32"/>
          <w:szCs w:val="32"/>
          <w:lang w:val="en-US" w:eastAsia="zh-CN"/>
        </w:rPr>
        <w:t>费用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3"/>
          <w:kern w:val="0"/>
          <w:sz w:val="32"/>
          <w:szCs w:val="32"/>
        </w:rPr>
        <w:t>达到重新购置设备费的50%及以上；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2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1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13"/>
          <w:kern w:val="0"/>
          <w:sz w:val="32"/>
          <w:szCs w:val="32"/>
        </w:rPr>
        <w:t>(5)损坏、丢失并已赔偿的。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6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w w:val="9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w w:val="98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000000"/>
          <w:w w:val="98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w w:val="98"/>
          <w:kern w:val="0"/>
          <w:sz w:val="32"/>
          <w:szCs w:val="32"/>
        </w:rPr>
        <w:t>由固定资产使用部门提出申请，填写</w:t>
      </w:r>
      <w:r>
        <w:rPr>
          <w:rFonts w:hint="default" w:ascii="Times New Roman" w:hAnsi="Times New Roman" w:eastAsia="仿宋_GB2312" w:cs="Times New Roman"/>
          <w:snapToGrid w:val="0"/>
          <w:color w:val="000000"/>
          <w:w w:val="98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napToGrid w:val="0"/>
          <w:color w:val="000000"/>
          <w:w w:val="98"/>
          <w:kern w:val="0"/>
          <w:sz w:val="32"/>
          <w:szCs w:val="32"/>
        </w:rPr>
        <w:t>固定资产报废申请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23"/>
          <w:w w:val="98"/>
          <w:kern w:val="0"/>
          <w:sz w:val="32"/>
          <w:szCs w:val="32"/>
        </w:rPr>
        <w:t>单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23"/>
          <w:w w:val="98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23"/>
          <w:w w:val="98"/>
          <w:kern w:val="0"/>
          <w:sz w:val="32"/>
          <w:szCs w:val="32"/>
        </w:rPr>
        <w:t>(附件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23"/>
          <w:w w:val="98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23"/>
          <w:w w:val="98"/>
          <w:kern w:val="0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23"/>
          <w:w w:val="98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23"/>
          <w:w w:val="98"/>
          <w:kern w:val="0"/>
          <w:sz w:val="32"/>
          <w:szCs w:val="32"/>
        </w:rPr>
        <w:t>由部门会同综合部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23"/>
          <w:w w:val="98"/>
          <w:kern w:val="0"/>
          <w:sz w:val="32"/>
          <w:szCs w:val="32"/>
          <w:lang w:val="en-US" w:eastAsia="zh-CN"/>
        </w:rPr>
        <w:t>按程序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23"/>
          <w:w w:val="98"/>
          <w:kern w:val="0"/>
          <w:sz w:val="32"/>
          <w:szCs w:val="32"/>
        </w:rPr>
        <w:t>审批。表格一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22"/>
          <w:w w:val="98"/>
          <w:kern w:val="0"/>
          <w:sz w:val="32"/>
          <w:szCs w:val="32"/>
        </w:rPr>
        <w:t>式二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8"/>
          <w:w w:val="98"/>
          <w:kern w:val="0"/>
          <w:sz w:val="32"/>
          <w:szCs w:val="32"/>
        </w:rPr>
        <w:t>份，一份固定资产使用部门留底备查，一份交由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9"/>
          <w:w w:val="98"/>
          <w:kern w:val="0"/>
          <w:sz w:val="32"/>
          <w:szCs w:val="32"/>
        </w:rPr>
        <w:t>财务进行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9"/>
          <w:w w:val="98"/>
          <w:kern w:val="0"/>
          <w:sz w:val="32"/>
          <w:szCs w:val="32"/>
          <w:highlight w:val="none"/>
          <w:lang w:val="en-US" w:eastAsia="zh-CN"/>
        </w:rPr>
        <w:t>账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7"/>
          <w:w w:val="98"/>
          <w:kern w:val="0"/>
          <w:sz w:val="32"/>
          <w:szCs w:val="32"/>
        </w:rPr>
        <w:t>务处理。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(四)处置：确属闲置不需要的固定资产，由使用部门提出处理意见，会同综合部核定是否有使用价值后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按程序报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批后处理，避免积压，造成损失浪费。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</w:rPr>
        <w:t>固定资产如需出售处理，需由综合部提出申请，列出准备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</w:rPr>
        <w:t>出售的固定资产明细，注明出售处理原因，出售金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4"/>
          <w:kern w:val="0"/>
          <w:sz w:val="32"/>
          <w:szCs w:val="32"/>
        </w:rPr>
        <w:t>额，上会讨论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1"/>
          <w:kern w:val="0"/>
          <w:sz w:val="32"/>
          <w:szCs w:val="32"/>
        </w:rPr>
        <w:t>审批。填写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1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1"/>
          <w:kern w:val="0"/>
          <w:sz w:val="32"/>
          <w:szCs w:val="32"/>
        </w:rPr>
        <w:t>固定资产出售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1"/>
          <w:kern w:val="0"/>
          <w:sz w:val="32"/>
          <w:szCs w:val="32"/>
          <w:lang w:val="en-US" w:eastAsia="zh-CN"/>
        </w:rPr>
        <w:t>清单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1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1"/>
          <w:kern w:val="0"/>
          <w:sz w:val="32"/>
          <w:szCs w:val="32"/>
        </w:rPr>
        <w:t>(附件4)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</w:rPr>
        <w:t>固定资产出售申请经批准后，由综合部对该固定资产进行处置。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</w:rPr>
        <w:t>财务根据已经批准的出售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>清单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</w:rPr>
        <w:t>、发票及收款，对固定资产及处理收益进行相应的财务处理。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</w:rPr>
        <w:t>(五)出租：闲置的固定资产可以出租。出租固定资产须提 交申请经上会讨论批准后方可出租，租赁合同须在三日内返综合部备案。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</w:rPr>
        <w:t>(六)抵押、赠送等：固定资产抵押、赠送等须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>按程序报批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</w:rPr>
        <w:t>。由需抵押的部门提出申请，经上会批准后方可办理。抵押、赠送合同必须返综合部备案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7" w:firstLineChars="200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6"/>
          <w:kern w:val="0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</w:rPr>
        <w:t>根据《民间非营利组织会计制度》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napToGrid w:val="0"/>
          <w:color w:val="000000"/>
          <w:spacing w:val="6"/>
          <w:kern w:val="0"/>
          <w:sz w:val="32"/>
          <w:szCs w:val="32"/>
          <w:highlight w:val="none"/>
        </w:rPr>
        <w:t>和税法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</w:rPr>
        <w:t>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>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>结合具体情况，固定资产的折旧年限、净残值率如下表：</w:t>
      </w:r>
    </w:p>
    <w:tbl>
      <w:tblPr>
        <w:tblStyle w:val="7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367"/>
        <w:gridCol w:w="1415"/>
        <w:gridCol w:w="1746"/>
        <w:gridCol w:w="2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40" w:lineRule="atLeast"/>
              <w:ind w:left="7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32"/>
                <w:szCs w:val="32"/>
              </w:rPr>
              <w:t>序号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240" w:lineRule="atLeast"/>
              <w:ind w:left="81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8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240" w:lineRule="atLeast"/>
              <w:ind w:left="9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</w:rPr>
              <w:t>折旧年限</w:t>
            </w:r>
          </w:p>
        </w:tc>
        <w:tc>
          <w:tcPr>
            <w:tcW w:w="10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40" w:lineRule="atLeast"/>
              <w:ind w:left="96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32"/>
                <w:szCs w:val="32"/>
                <w:lang w:val="en-US" w:eastAsia="zh-CN"/>
              </w:rPr>
              <w:t>净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32"/>
                <w:szCs w:val="32"/>
              </w:rPr>
              <w:t>残值率</w:t>
            </w:r>
          </w:p>
        </w:tc>
        <w:tc>
          <w:tcPr>
            <w:tcW w:w="12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240" w:lineRule="atLeast"/>
              <w:ind w:left="99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4" w:line="240" w:lineRule="atLeast"/>
              <w:ind w:left="7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0"/>
                <w:sz w:val="32"/>
                <w:szCs w:val="32"/>
              </w:rPr>
              <w:t>01</w:t>
            </w:r>
          </w:p>
        </w:tc>
        <w:tc>
          <w:tcPr>
            <w:tcW w:w="14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40" w:lineRule="atLeast"/>
              <w:ind w:left="81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32"/>
                <w:szCs w:val="32"/>
              </w:rPr>
              <w:t>房屋、建筑物</w:t>
            </w:r>
          </w:p>
        </w:tc>
        <w:tc>
          <w:tcPr>
            <w:tcW w:w="8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40" w:lineRule="atLeast"/>
              <w:ind w:left="9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</w:rPr>
              <w:t>20年</w:t>
            </w:r>
          </w:p>
        </w:tc>
        <w:tc>
          <w:tcPr>
            <w:tcW w:w="105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240" w:lineRule="atLeast"/>
              <w:ind w:left="96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0"/>
                <w:sz w:val="32"/>
                <w:szCs w:val="32"/>
              </w:rPr>
              <w:t>5%</w:t>
            </w:r>
          </w:p>
        </w:tc>
        <w:tc>
          <w:tcPr>
            <w:tcW w:w="1237" w:type="pct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1"/>
                <w:kern w:val="0"/>
                <w:position w:val="16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1"/>
                <w:kern w:val="0"/>
                <w:position w:val="16"/>
                <w:sz w:val="32"/>
                <w:szCs w:val="32"/>
              </w:rPr>
              <w:t>固定资产折旧方法为平均年限法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7" w:line="240" w:lineRule="atLeast"/>
              <w:ind w:left="7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0"/>
                <w:sz w:val="32"/>
                <w:szCs w:val="32"/>
              </w:rPr>
              <w:t>02</w:t>
            </w:r>
          </w:p>
        </w:tc>
        <w:tc>
          <w:tcPr>
            <w:tcW w:w="14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300" w:lineRule="exact"/>
              <w:ind w:left="79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position w:val="15"/>
                <w:sz w:val="32"/>
                <w:szCs w:val="32"/>
              </w:rPr>
              <w:t>机械和其他生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79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32"/>
                <w:szCs w:val="32"/>
              </w:rPr>
              <w:t>产设备</w:t>
            </w:r>
          </w:p>
        </w:tc>
        <w:tc>
          <w:tcPr>
            <w:tcW w:w="8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40" w:lineRule="atLeast"/>
              <w:ind w:left="9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</w:rPr>
              <w:t>10年</w:t>
            </w:r>
          </w:p>
        </w:tc>
        <w:tc>
          <w:tcPr>
            <w:tcW w:w="105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7" w:line="240" w:lineRule="atLeast"/>
              <w:ind w:left="96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0"/>
                <w:sz w:val="32"/>
                <w:szCs w:val="32"/>
              </w:rPr>
              <w:t>3%</w:t>
            </w:r>
          </w:p>
        </w:tc>
        <w:tc>
          <w:tcPr>
            <w:tcW w:w="1237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3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40" w:lineRule="atLeast"/>
              <w:ind w:left="7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0"/>
                <w:sz w:val="32"/>
                <w:szCs w:val="32"/>
              </w:rPr>
              <w:t>03</w:t>
            </w:r>
          </w:p>
        </w:tc>
        <w:tc>
          <w:tcPr>
            <w:tcW w:w="14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9" w:line="300" w:lineRule="exact"/>
              <w:ind w:left="81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position w:val="14"/>
                <w:sz w:val="32"/>
                <w:szCs w:val="32"/>
              </w:rPr>
              <w:t>器具、工具、家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0"/>
                <w:sz w:val="32"/>
                <w:szCs w:val="32"/>
              </w:rPr>
              <w:t>具等</w:t>
            </w:r>
          </w:p>
        </w:tc>
        <w:tc>
          <w:tcPr>
            <w:tcW w:w="8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240" w:lineRule="atLeast"/>
              <w:ind w:left="9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</w:rPr>
              <w:t>5年</w:t>
            </w:r>
          </w:p>
        </w:tc>
        <w:tc>
          <w:tcPr>
            <w:tcW w:w="105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40" w:lineRule="atLeast"/>
              <w:ind w:left="96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0"/>
                <w:sz w:val="32"/>
                <w:szCs w:val="32"/>
              </w:rPr>
              <w:t>3%</w:t>
            </w:r>
          </w:p>
        </w:tc>
        <w:tc>
          <w:tcPr>
            <w:tcW w:w="1237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3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2" w:line="240" w:lineRule="atLeast"/>
              <w:ind w:left="7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0"/>
                <w:position w:val="-3"/>
                <w:sz w:val="32"/>
                <w:szCs w:val="32"/>
              </w:rPr>
              <w:t>04</w:t>
            </w:r>
          </w:p>
        </w:tc>
        <w:tc>
          <w:tcPr>
            <w:tcW w:w="14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atLeast"/>
              <w:ind w:left="81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32"/>
                <w:szCs w:val="32"/>
              </w:rPr>
              <w:t>电子设备</w:t>
            </w:r>
          </w:p>
        </w:tc>
        <w:tc>
          <w:tcPr>
            <w:tcW w:w="8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240" w:lineRule="atLeast"/>
              <w:ind w:left="9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</w:rPr>
              <w:t>3年</w:t>
            </w:r>
          </w:p>
        </w:tc>
        <w:tc>
          <w:tcPr>
            <w:tcW w:w="105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line="240" w:lineRule="atLeast"/>
              <w:ind w:left="96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0"/>
                <w:position w:val="-3"/>
                <w:sz w:val="32"/>
                <w:szCs w:val="32"/>
              </w:rPr>
              <w:t>3%</w:t>
            </w:r>
          </w:p>
        </w:tc>
        <w:tc>
          <w:tcPr>
            <w:tcW w:w="1237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3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3" w:line="240" w:lineRule="atLeast"/>
              <w:ind w:left="7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0"/>
                <w:position w:val="-3"/>
                <w:sz w:val="32"/>
                <w:szCs w:val="32"/>
              </w:rPr>
              <w:t>05</w:t>
            </w:r>
          </w:p>
        </w:tc>
        <w:tc>
          <w:tcPr>
            <w:tcW w:w="142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240" w:lineRule="atLeast"/>
              <w:ind w:left="81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32"/>
                <w:szCs w:val="32"/>
              </w:rPr>
              <w:t>交通工具</w:t>
            </w:r>
          </w:p>
        </w:tc>
        <w:tc>
          <w:tcPr>
            <w:tcW w:w="8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tLeast"/>
              <w:ind w:left="94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0"/>
                <w:sz w:val="32"/>
                <w:szCs w:val="32"/>
              </w:rPr>
              <w:t>5年</w:t>
            </w:r>
          </w:p>
        </w:tc>
        <w:tc>
          <w:tcPr>
            <w:tcW w:w="105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240" w:lineRule="atLeast"/>
              <w:ind w:left="96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0"/>
                <w:sz w:val="32"/>
                <w:szCs w:val="32"/>
              </w:rPr>
              <w:t>3%</w:t>
            </w:r>
          </w:p>
        </w:tc>
        <w:tc>
          <w:tcPr>
            <w:tcW w:w="1237" w:type="pct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576" w:lineRule="exact"/>
        <w:ind w:right="20"/>
        <w:jc w:val="center"/>
        <w:textAlignment w:val="baseline"/>
        <w:outlineLvl w:val="0"/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6"/>
          <w:kern w:val="0"/>
          <w:sz w:val="32"/>
          <w:szCs w:val="32"/>
          <w:highlight w:val="none"/>
          <w:lang w:val="en-US"/>
        </w:rPr>
      </w:pPr>
      <w:bookmarkStart w:id="6" w:name="_Toc4972"/>
      <w:bookmarkStart w:id="7" w:name="_Toc24672"/>
      <w:bookmarkStart w:id="8" w:name="_Toc26761"/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 xml:space="preserve">章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清查盘点</w:t>
      </w:r>
      <w:bookmarkEnd w:id="6"/>
      <w:bookmarkEnd w:id="7"/>
      <w:bookmarkEnd w:id="8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67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6"/>
          <w:kern w:val="0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</w:rPr>
        <w:t>使用部门负责本部门固定资产的领用、保管、清查盘点工作，综合部年终进行全面清点，做到账账相符，账实相符。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576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2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 xml:space="preserve">   固定资产清查的程序：固定资产全面清查盘点时，由综合部和使用部门组成清查小组，编制《固定资产盘点表》，经查核后确定出固定资产盘盈盘亏数额，根据《固定资产盘点表》填制《固定资产盘盈表》和《固定资产盘亏表》，经秘书处审批后，财务据以进行有关的账务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576" w:lineRule="exact"/>
        <w:ind w:left="29" w:right="20" w:firstLine="624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6"/>
          <w:kern w:val="0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</w:rPr>
        <w:t>各部门要加强对固定资产的管理，防止资产损坏和流失，造成固定资产损失的，相关责任人承担赔偿责任。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</w:pPr>
      <w:bookmarkStart w:id="9" w:name="_Toc9857"/>
      <w:bookmarkStart w:id="10" w:name="_Toc6056"/>
      <w:bookmarkStart w:id="11" w:name="_Toc8822"/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>第五章  附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highlight w:val="none"/>
        </w:rPr>
        <w:t>则</w:t>
      </w:r>
      <w:bookmarkEnd w:id="9"/>
      <w:bookmarkEnd w:id="10"/>
      <w:bookmarkEnd w:id="11"/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 w:bidi="ar"/>
        </w:rPr>
        <w:t>第九条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本制度自</w:t>
      </w:r>
      <w:r>
        <w:rPr>
          <w:rFonts w:hint="eastAsia" w:ascii="Times New Roman" w:hAnsi="Times New Roman" w:eastAsia="仿宋_GB2312" w:cs="Times New Roman"/>
          <w:sz w:val="32"/>
          <w:szCs w:val="32"/>
          <w:u w:val="thick"/>
          <w:lang w:val="en-US" w:eastAsia="zh-CN" w:bidi="ar"/>
        </w:rPr>
        <w:t>2023年10月31日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起执行，解释权归四川省慈善联合总会所有。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beforeAutospacing="0" w:after="0" w:afterAutospacing="0" w:line="576" w:lineRule="exact"/>
        <w:ind w:left="0" w:right="0" w:firstLine="630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4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snapToGrid w:val="0"/>
          <w:color w:val="000000"/>
          <w:spacing w:val="6"/>
          <w:kern w:val="0"/>
          <w:sz w:val="32"/>
          <w:szCs w:val="32"/>
          <w:highlight w:val="none"/>
          <w:lang w:val="en-US" w:eastAsia="zh-CN" w:bidi="ar"/>
        </w:rPr>
        <w:t>第十条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本办法可根据实际情况进行修订，经秘书长办公会审议通过，方可施行。</w:t>
      </w:r>
    </w:p>
    <w:p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8197721-8130-4A1B-A2BA-8B46FC7259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437DC8-5EBB-4E92-B346-962C8CC541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B7ED105-A9B0-4C42-ADB3-A14B838A48C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4CF594B-D882-40E7-960A-24BB8D82411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FC87248-B02C-400D-9211-6BE2EBBCBB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22FCFCD-A5B5-4D81-89F3-8EB5551479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OGMzZGJjNDQ4NTU0YWU4OWE5OTg2YTQxZGYwMTMifQ=="/>
    <w:docVar w:name="KSO_WPS_MARK_KEY" w:val="bc1a40c4-eb2d-48e8-8ca5-51d3fdde4f43"/>
  </w:docVars>
  <w:rsids>
    <w:rsidRoot w:val="00000000"/>
    <w:rsid w:val="0E7B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 2"/>
    <w:basedOn w:val="1"/>
    <w:qFormat/>
    <w:uiPriority w:val="99"/>
    <w:pPr>
      <w:spacing w:line="480" w:lineRule="auto"/>
      <w:ind w:left="420" w:leftChars="200"/>
    </w:pPr>
    <w:rPr>
      <w:rFonts w:ascii="Times New Roman" w:hAnsi="Times New Roman"/>
    </w:rPr>
  </w:style>
  <w:style w:type="paragraph" w:styleId="4">
    <w:name w:val="Body Text First Indent"/>
    <w:basedOn w:val="2"/>
    <w:next w:val="3"/>
    <w:qFormat/>
    <w:uiPriority w:val="0"/>
    <w:pPr>
      <w:ind w:firstLine="420" w:firstLineChars="200"/>
    </w:pPr>
    <w:rPr>
      <w:rFonts w:ascii="Times New Roman" w:hAnsi="Times New Roman"/>
      <w:sz w:val="24"/>
    </w:rPr>
  </w:style>
  <w:style w:type="table" w:customStyle="1" w:styleId="7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2024-05-16T08:01:15Z</dcterms:created>
  <dc:creator>Administrator</dc:creator>
  <cp:lastModifiedBy>西风吹只影</cp:lastModifiedBy>
  <dcterms:modified xsi:type="dcterms:W3CDTF">2024-05-16T08:01:18Z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9BC68A899EB2432787636FC4EC67938A_12</vt:lpwstr>
  </property>
</Properties>
</file>