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1109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四川省慈善联合总会分支机构管理制度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"分享到新浪微博"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"分享到豆瓣网"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"分享到QQ空间"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"分享到人人网"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"分享到微信"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"分享到腾讯微博"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"分享到新浪微博"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"分享到豆瓣网"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"分享到QQ空间"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"分享到人人网"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"分享到微信"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instrText xml:space="preserve"> HYPERLINK "http://www.chinacharityfederation.org/nv.html?nid=0b86123a-ee01-4a94-9670-330a5b987ed1&amp;URLparamName=%E4%B8%AD%E5%8D%8E%E6%85%88%E5%96%84%E6%80%BB%E4%BC%9A%E5%88%86%E6%94%AF%E6%9C%BA%E6%9E%84%E7%AE%A1%E7%90%86%E5%8A%9E%E6%B3%95" \o "分享到腾讯微博" </w:instrTex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为有效整合社会资源，推动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（以下简称“总会”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公益慈善事业高质量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发展，依据《中华人民共和国慈善法》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以下简称《慈善法》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《社会团体登记管理条例》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《社会团体分支机构、代表机构登记办法》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以及参考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《民政部社管局关于进一步加强全国性社会团体分支机构、代表机构规范管理的通知》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相关要求，结合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章程》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以下简称“章程”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制定本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是总会根据事业发展和业务工作需要，依据业务范围或者成员特点，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审议通过后，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设立的专门从事总会某项业务活动的机构。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总会的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名称命名以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专业委员会”“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工作委员会”“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命名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，开展活动必须使用该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冠有“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四川省慈善联合总会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”的规范全称。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是总会的组成部分，不具有法人资格，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总会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授权的范围内开展活动、发展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第二章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的设立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管理、注销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设立流程：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一</w:t>
      </w:r>
      <w:r>
        <w:rPr>
          <w:rFonts w:hint="eastAsia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bidi="ar-SA"/>
        </w:rPr>
        <w:t>意向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发起人（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可为自然人、法人或非法人组织，具备良好的专业背景、行业影响力和社会信誉，无重大违法违规行为</w:t>
      </w:r>
      <w:r>
        <w:rPr>
          <w:rFonts w:hint="eastAsia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向总会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bidi="ar-SA"/>
        </w:rPr>
        <w:t>提出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书面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bidi="ar-SA"/>
        </w:rPr>
        <w:t>申请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以及相关资料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bidi="ar-SA"/>
        </w:rPr>
        <w:t>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二</w:t>
      </w:r>
      <w:r>
        <w:rPr>
          <w:rFonts w:hint="eastAsia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总会审核设立资料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bidi="ar-SA"/>
        </w:rPr>
        <w:t>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三</w:t>
      </w:r>
      <w:r>
        <w:rPr>
          <w:rFonts w:hint="eastAsia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总会审议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bidi="ar-SA"/>
        </w:rPr>
        <w:t>通过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后分支机构正式设立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 w:bidi="ar-SA"/>
        </w:rPr>
        <w:t>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（四</w:t>
      </w:r>
      <w:r>
        <w:rPr>
          <w:rFonts w:hint="eastAsia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 w:bidi="ar-SA"/>
        </w:rPr>
        <w:t>总会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向社会公告分支机构相关信息。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提交资料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设立申请书（应包括设立的理由、业务范围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发起人名单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拟任主要负责人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分支机构主任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基本情况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，年龄不得超过70周岁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住所产权或使用权证明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若办公室设在总会，则无需提供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经费来源说明；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其他必要材料。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有下列情形之一的，总会不予批准设立：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在总会拟设立的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与已设立的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业务范围相同或相似的；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冠以行政区划名称，带有地域性特征的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名称不规范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下又设立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拟设立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的活动内容、承办事项与总会宗旨、业务范围无关的；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设定的活动范围超越总会设定的活动地域的；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有法律法规禁止的其他情形的。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3" w:firstLineChars="200"/>
        <w:jc w:val="left"/>
        <w:rPr>
          <w:rFonts w:hint="eastAsia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第八条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　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 w:bidi="ar-SA"/>
        </w:rPr>
        <w:t>分支机构依据总会章程和本制度，根据自身工作特点和实际需要制定相应的工作规则，</w:t>
      </w:r>
      <w:r>
        <w:rPr>
          <w:rFonts w:hint="default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auto"/>
        </w:rPr>
        <w:t>开展日常业务。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/>
          <w:lang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3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九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　分支机构的重大事项需经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总会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批准，日常协调、管理、服务工作由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总会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秘书处负责。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0" w:firstLineChars="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eastAsia="仿宋_GB2312" w:cs="Times New Roman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每年按照总会规定时间，向总会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报送年度工作计划和工作总结。分支机构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开展项目或活动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，应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经分支机构负责人审核后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总会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批准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后实施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0" w:firstLineChars="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3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十一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　分支机构应当在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总会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授权的范围内发展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员。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负有直接领导责任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，年龄不得超过70周岁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负责人有下列情况之一的，经总会相关决策流程审议批准，可以调换或罢免：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因个人原因提出辞职的；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违反国家法律法规的；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违反总会章程及其他规章制度开展业务活动的；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超批准范围开展业务活动的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有不当行为给总会名誉造成不良影响的；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.经总会议定需要调换或罢免的；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因其他情况不适宜担任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财务管理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不得单独开立银行账户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分支机构不得自行接受捐赠，不得截留捐赠收入。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的全部收支应纳入总会财务会计报告编制范围和审计报告审计范围。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信息公开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（一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的信息公开工作纳入总会统一管理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总会在年度工作报告中将其分支机构的名称、负责人、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住所等有关情况报送业务主管单位和登记管理机关，接受年度检查。同时，将上述信息及时向社会公开，自觉接受社会监督。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变更，应当向总会提交下列文件：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负责人变更的，需要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发起人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主要负责人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变更申请书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住所变更的，还需提交新住房产权或使用权证明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其他变更需根据总会要求提交相关资料。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，应向总会提交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负责人签署的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申请书。总会收到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文件后，按程序经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相关流程审议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后方可正式注销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分支机构出现下列情形之一，总会有权要求分支机构及时整改或注销：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1.发起人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在申请设立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时弄虚作假的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未经批准擅自刻制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印章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开立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银行账户的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自批准设立之日起1年内未开展活动的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违反《慈善法》规定以及总会相关制度要求，或利用分支机构损害总会形象或谋取私利；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认为有必要注销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的，由总会办理相关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手续及进行财务清算。清算后，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分支机构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剩余资金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由总会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统筹安排用于目的相同或相近的其他慈善项目，并向社会公开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任何组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织和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个人不得再以该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机构的名义进行任何活动。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章 附 则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本制度经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第四届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理事会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第四次会议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审议通过后正式实施。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76" w:lineRule="exact"/>
        <w:ind w:firstLine="643" w:firstLineChars="200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本制度解释权归四川省慈善联合总会所有，适用于四川省慈善联合总会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7208d5ee-6180-4645-8ecd-3b9dccfcd15d"/>
  </w:docVars>
  <w:rsids>
    <w:rsidRoot w:val="00000000"/>
    <w:rsid w:val="0E9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2025-04-25T09:59:15Z</dcterms:created>
  <dc:creator>Administrator</dc:creator>
  <cp:lastModifiedBy>郝小jian</cp:lastModifiedBy>
  <dcterms:modified xsi:type="dcterms:W3CDTF">2025-04-25T09:59:22Z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77A32B645A7B4A15BDBB424A39CC8269_12</vt:lpwstr>
  </property>
</Properties>
</file>